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170129 庄昌明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程泰宁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4.7万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基于隐喻思维的建筑情感表达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2020.06.01.09：30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Style w:val="7"/>
                <w:rFonts w:ascii="Arial" w:hAnsi="Arial" w:cs="Arial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84126901006</w:t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  <w:lang w:val="en-US" w:eastAsia="zh-CN"/>
              </w:rPr>
              <w:t>784282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王静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沈旸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孙磊磊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  <w:bookmarkStart w:id="1" w:name="_GoBack"/>
            <w:bookmarkEnd w:id="1"/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苏州大学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费移山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讲师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13851477093</w:t>
            </w:r>
          </w:p>
        </w:tc>
        <w:tc>
          <w:tcPr>
            <w:tcW w:w="2769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3A60434"/>
    <w:rsid w:val="18A03CD1"/>
    <w:rsid w:val="4E500496"/>
    <w:rsid w:val="4EE16C63"/>
    <w:rsid w:val="64251234"/>
    <w:rsid w:val="6FB9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35</TotalTime>
  <ScaleCrop>false</ScaleCrop>
  <LinksUpToDate>false</LinksUpToDate>
  <CharactersWithSpaces>297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啊啊啊</cp:lastModifiedBy>
  <cp:lastPrinted>2020-05-14T03:29:00Z</cp:lastPrinted>
  <dcterms:modified xsi:type="dcterms:W3CDTF">2020-05-27T10:18:07Z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